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5BD" w:rsidRPr="008555BD" w:rsidRDefault="008555BD" w:rsidP="008555BD">
      <w:pPr>
        <w:jc w:val="center"/>
        <w:rPr>
          <w:rFonts w:ascii="Calibri" w:eastAsia="Calibri" w:hAnsi="Calibri" w:cs="Times New Roman"/>
          <w:b/>
          <w:sz w:val="28"/>
          <w:szCs w:val="28"/>
        </w:rPr>
      </w:pPr>
      <w:r w:rsidRPr="008555BD">
        <w:rPr>
          <w:rFonts w:ascii="Calibri" w:eastAsia="Calibri" w:hAnsi="Calibri" w:cs="Times New Roman"/>
          <w:b/>
          <w:sz w:val="28"/>
          <w:szCs w:val="28"/>
        </w:rPr>
        <w:t>ASX Clause 5.8.1 &amp; 5.9.1 Summary</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b/>
          <w:u w:val="single"/>
        </w:rPr>
        <w:t>Mineral Resource estimation summary</w:t>
      </w:r>
      <w:r w:rsidRPr="002F5DC4">
        <w:rPr>
          <w:rFonts w:ascii="Calibri" w:eastAsia="Calibri" w:hAnsi="Calibri" w:cs="Times New Roman"/>
        </w:rPr>
        <w:t>: The Bootu Creek manganese deposits are strata-bound, located at the contact between the underlying dolomite-siltstone Attack Creek Formation and the overlying ridge forming sandstone of the Bootu Formation in the Tomkinson Group, within the Ashburton Province of the Palaeozoic Tennant Creek Inlier.  The mineralised manganese bearing sandstone horizon is folded around the gentle NNW plunging Bootu Syncline, can be traced for 24km and dips around 30</w:t>
      </w:r>
      <w:r w:rsidRPr="002F5DC4">
        <w:rPr>
          <w:rFonts w:ascii="Calibri" w:eastAsia="Calibri" w:hAnsi="Calibri" w:cs="Times New Roman"/>
          <w:vertAlign w:val="superscript"/>
        </w:rPr>
        <w:t>o</w:t>
      </w:r>
      <w:r w:rsidRPr="002F5DC4">
        <w:rPr>
          <w:rFonts w:ascii="Calibri" w:eastAsia="Calibri" w:hAnsi="Calibri" w:cs="Times New Roman"/>
        </w:rPr>
        <w:t xml:space="preserve"> towards the fold axis.</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The manganese is considered hydrothermal in origin, locally retaining a relic stromatolite texture and is supergene enriched within a deeply weathered profile.  The Bootu Creek manganese resource models have a combined strike length of 16 km, with deposit models ranging from 0.7 km to 2.9 km.  Mineralisation widths vary from 3 m to 15 m and ore mineralogy consists predominately of Pyrolusite and Cryptomelane in a silica rich gangue within the supergene zone, above a Rhodochrosite and Braunite unweathered protore at depths of greater than 90m from surface.</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All Bootu Creek resource models, other than Renner West, are located within Mineral Lease ML24031, located 120 km north of Tennant Creek, Northern Territory, Australia. The Renner West Inferred Mineral Resource is located on EL28041 and located 70 km NW of the Bootu Creek mine site.  Both tenements are granted, 100% owned by OMM and have no security of tenure issues at the time of reporting.</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Resources at Bootu Creek (BC) are predominantly sampled by vertical 5.5” face sampling Reverse Circulation (RC) drilling (91% of total drilled), HQ3 diamond (DD) drilling (2%) and open percussion (PC) drilling (7%), based on a nominal 50 m x 25 m spaced grid</w:t>
      </w:r>
      <w:r>
        <w:rPr>
          <w:rFonts w:ascii="Calibri" w:eastAsia="Calibri" w:hAnsi="Calibri" w:cs="Times New Roman"/>
        </w:rPr>
        <w:t>.</w:t>
      </w:r>
      <w:r w:rsidRPr="002F5DC4">
        <w:rPr>
          <w:rFonts w:ascii="Calibri" w:eastAsia="Calibri" w:hAnsi="Calibri" w:cs="Times New Roman"/>
        </w:rPr>
        <w:t xml:space="preserve">   Hole depths range from 5 m to 164 m and collar locations are picked up by Mine Surveyors using MGA94 co-ordinates.  The 31 December 2012 BC resource dataset (no new resource delineation</w:t>
      </w:r>
      <w:r>
        <w:rPr>
          <w:rFonts w:ascii="Calibri" w:eastAsia="Calibri" w:hAnsi="Calibri" w:cs="Times New Roman"/>
        </w:rPr>
        <w:t xml:space="preserve"> drilling carried out since 2012</w:t>
      </w:r>
      <w:r w:rsidRPr="002F5DC4">
        <w:rPr>
          <w:rFonts w:ascii="Calibri" w:eastAsia="Calibri" w:hAnsi="Calibri" w:cs="Times New Roman"/>
        </w:rPr>
        <w:t>) comprised 3,055 drill holes for 169,520 m and Renner West (RW) dataset has 142 drill</w:t>
      </w:r>
      <w:r>
        <w:rPr>
          <w:rFonts w:ascii="Calibri" w:eastAsia="Calibri" w:hAnsi="Calibri" w:cs="Times New Roman"/>
        </w:rPr>
        <w:t xml:space="preserve"> </w:t>
      </w:r>
      <w:r w:rsidRPr="002F5DC4">
        <w:rPr>
          <w:rFonts w:ascii="Calibri" w:eastAsia="Calibri" w:hAnsi="Calibri" w:cs="Times New Roman"/>
        </w:rPr>
        <w:t xml:space="preserve">holes for 6,212 m. </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Sampling of RC holes is done on 1 metre downhole intervals and rotary split to produce approximately 3 kg samples.  Intervals selected for analysis are generally limited to visible manganese mineralisation and adjacent host rock.  Mineralised diamond core is quarter sawn to obtain 1 metre or geological intervals, with half core retained for density determination and metallurgical test work.  All drill samples are crushed, dried and pulverised (total prep) to produce a sub sample for XRF analysis.  Field quality control procedures involve the use of field duplicates, certified BC standards (at an insertion rate of approx. 1:130) and use of a number of commercial laboratories for analysis.</w:t>
      </w:r>
    </w:p>
    <w:p w:rsidR="008555BD" w:rsidRDefault="008555BD" w:rsidP="008555BD">
      <w:pPr>
        <w:jc w:val="both"/>
        <w:rPr>
          <w:rFonts w:ascii="Calibri" w:eastAsia="Calibri" w:hAnsi="Calibri" w:cs="Times New Roman"/>
        </w:rPr>
      </w:pPr>
      <w:r w:rsidRPr="002F5DC4">
        <w:rPr>
          <w:rFonts w:ascii="Calibri" w:eastAsia="Calibri" w:hAnsi="Calibri" w:cs="Times New Roman"/>
        </w:rPr>
        <w:t xml:space="preserve">The sample preparation of RC samples involve oven drying and full pulverisation before splitting off an XRF assay sub-sample. Diamond core assay samples are quarter </w:t>
      </w:r>
      <w:proofErr w:type="gramStart"/>
      <w:r w:rsidRPr="002F5DC4">
        <w:rPr>
          <w:rFonts w:ascii="Calibri" w:eastAsia="Calibri" w:hAnsi="Calibri" w:cs="Times New Roman"/>
        </w:rPr>
        <w:t>sawn,</w:t>
      </w:r>
      <w:proofErr w:type="gramEnd"/>
      <w:r w:rsidRPr="002F5DC4">
        <w:rPr>
          <w:rFonts w:ascii="Calibri" w:eastAsia="Calibri" w:hAnsi="Calibri" w:cs="Times New Roman"/>
        </w:rPr>
        <w:t xml:space="preserve"> jaw crushed and follow the same sample preparation technique.  A pulp sub-sample is collected for analysis by XRF for the following elements: Mn, Fe, Al</w:t>
      </w:r>
      <w:r w:rsidRPr="002F5DC4">
        <w:rPr>
          <w:rFonts w:ascii="Calibri" w:eastAsia="Calibri" w:hAnsi="Calibri" w:cs="Times New Roman"/>
          <w:vertAlign w:val="subscript"/>
        </w:rPr>
        <w:t>2</w:t>
      </w:r>
      <w:r w:rsidRPr="002F5DC4">
        <w:rPr>
          <w:rFonts w:ascii="Calibri" w:eastAsia="Calibri" w:hAnsi="Calibri" w:cs="Times New Roman"/>
        </w:rPr>
        <w:t>O</w:t>
      </w:r>
      <w:r w:rsidRPr="002F5DC4">
        <w:rPr>
          <w:rFonts w:ascii="Calibri" w:eastAsia="Calibri" w:hAnsi="Calibri" w:cs="Times New Roman"/>
          <w:vertAlign w:val="subscript"/>
        </w:rPr>
        <w:t>3</w:t>
      </w:r>
      <w:r w:rsidRPr="002F5DC4">
        <w:rPr>
          <w:rFonts w:ascii="Calibri" w:eastAsia="Calibri" w:hAnsi="Calibri" w:cs="Times New Roman"/>
        </w:rPr>
        <w:t>, SiO</w:t>
      </w:r>
      <w:r w:rsidRPr="002F5DC4">
        <w:rPr>
          <w:rFonts w:ascii="Calibri" w:eastAsia="Calibri" w:hAnsi="Calibri" w:cs="Times New Roman"/>
          <w:vertAlign w:val="subscript"/>
        </w:rPr>
        <w:t>2</w:t>
      </w:r>
      <w:r w:rsidRPr="002F5DC4">
        <w:rPr>
          <w:rFonts w:ascii="Calibri" w:eastAsia="Calibri" w:hAnsi="Calibri" w:cs="Times New Roman"/>
        </w:rPr>
        <w:t>, P, Pb, S, TiO</w:t>
      </w:r>
      <w:r w:rsidRPr="002F5DC4">
        <w:rPr>
          <w:rFonts w:ascii="Calibri" w:eastAsia="Calibri" w:hAnsi="Calibri" w:cs="Times New Roman"/>
          <w:vertAlign w:val="subscript"/>
        </w:rPr>
        <w:t>2</w:t>
      </w:r>
      <w:r w:rsidRPr="002F5DC4">
        <w:rPr>
          <w:rFonts w:ascii="Calibri" w:eastAsia="Calibri" w:hAnsi="Calibri" w:cs="Times New Roman"/>
        </w:rPr>
        <w:t xml:space="preserve">, </w:t>
      </w:r>
      <w:proofErr w:type="spellStart"/>
      <w:r w:rsidRPr="002F5DC4">
        <w:rPr>
          <w:rFonts w:ascii="Calibri" w:eastAsia="Calibri" w:hAnsi="Calibri" w:cs="Times New Roman"/>
        </w:rPr>
        <w:t>MgO</w:t>
      </w:r>
      <w:proofErr w:type="spellEnd"/>
      <w:r w:rsidRPr="002F5DC4">
        <w:rPr>
          <w:rFonts w:ascii="Calibri" w:eastAsia="Calibri" w:hAnsi="Calibri" w:cs="Times New Roman"/>
        </w:rPr>
        <w:t>, K</w:t>
      </w:r>
      <w:r w:rsidRPr="002F5DC4">
        <w:rPr>
          <w:rFonts w:ascii="Calibri" w:eastAsia="Calibri" w:hAnsi="Calibri" w:cs="Times New Roman"/>
          <w:vertAlign w:val="subscript"/>
        </w:rPr>
        <w:t>2</w:t>
      </w:r>
      <w:r w:rsidRPr="002F5DC4">
        <w:rPr>
          <w:rFonts w:ascii="Calibri" w:eastAsia="Calibri" w:hAnsi="Calibri" w:cs="Times New Roman"/>
        </w:rPr>
        <w:t xml:space="preserve">O, BaO, </w:t>
      </w:r>
      <w:proofErr w:type="spellStart"/>
      <w:r w:rsidRPr="002F5DC4">
        <w:rPr>
          <w:rFonts w:ascii="Calibri" w:eastAsia="Calibri" w:hAnsi="Calibri" w:cs="Times New Roman"/>
        </w:rPr>
        <w:t>CaO</w:t>
      </w:r>
      <w:proofErr w:type="spellEnd"/>
      <w:r w:rsidRPr="002F5DC4">
        <w:rPr>
          <w:rFonts w:ascii="Calibri" w:eastAsia="Calibri" w:hAnsi="Calibri" w:cs="Times New Roman"/>
        </w:rPr>
        <w:t>, Cu and Zn. LOI (loss on ignition) is assessed by thermo-gravimetric determination. Laboratory QAQC involves the use of internal laboratory standards using certified reference material, blanks, splits and replicates as pa</w:t>
      </w:r>
      <w:r>
        <w:rPr>
          <w:rFonts w:ascii="Calibri" w:eastAsia="Calibri" w:hAnsi="Calibri" w:cs="Times New Roman"/>
        </w:rPr>
        <w:t xml:space="preserve">rt of the in house procedures. </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lastRenderedPageBreak/>
        <w:t>OMM (OM Manganese Ltd) developed 6 reference standards in 2007 and 2010 for a range of manganese grade values, using blends of Mn, Fe and quartz material.  These were sent to 10 commercial laboratories with returned values in the +-2% range against of the mean value.  BC standards are submitted with each assay batch and results monitored to maintain an independent check on laboratory assays.</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 xml:space="preserve">There is a high degree of confidence in the geological interpretation of the Bootu Creek manganese deposits gained through extensive close spaced drill testing, a relatively planar strata-bound geological setting and several years of active mining at this mature mining operation.  Ore mineralogy was determined by XRD analysis and optical petrology on selected drill core, RC chip and lump product (gravity concentrate) samples.  </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Resource models were digitised and wire-framed from updated interpreted geological and assay drill cross sections prepared by OMM.   These wireframes were used to select resource drill intersections and composite data was extracted for Mn, Fe, SiO</w:t>
      </w:r>
      <w:r w:rsidRPr="002F5DC4">
        <w:rPr>
          <w:rFonts w:ascii="Calibri" w:eastAsia="Calibri" w:hAnsi="Calibri" w:cs="Times New Roman"/>
          <w:vertAlign w:val="subscript"/>
        </w:rPr>
        <w:t>2</w:t>
      </w:r>
      <w:r w:rsidRPr="002F5DC4">
        <w:rPr>
          <w:rFonts w:ascii="Calibri" w:eastAsia="Calibri" w:hAnsi="Calibri" w:cs="Times New Roman"/>
        </w:rPr>
        <w:t>, Al</w:t>
      </w:r>
      <w:r w:rsidRPr="002F5DC4">
        <w:rPr>
          <w:rFonts w:ascii="Calibri" w:eastAsia="Calibri" w:hAnsi="Calibri" w:cs="Times New Roman"/>
          <w:vertAlign w:val="subscript"/>
        </w:rPr>
        <w:t>2</w:t>
      </w:r>
      <w:r w:rsidRPr="002F5DC4">
        <w:rPr>
          <w:rFonts w:ascii="Calibri" w:eastAsia="Calibri" w:hAnsi="Calibri" w:cs="Times New Roman"/>
        </w:rPr>
        <w:t>O</w:t>
      </w:r>
      <w:r w:rsidRPr="002F5DC4">
        <w:rPr>
          <w:rFonts w:ascii="Calibri" w:eastAsia="Calibri" w:hAnsi="Calibri" w:cs="Times New Roman"/>
          <w:vertAlign w:val="subscript"/>
        </w:rPr>
        <w:t>3</w:t>
      </w:r>
      <w:r w:rsidRPr="002F5DC4">
        <w:rPr>
          <w:rFonts w:ascii="Calibri" w:eastAsia="Calibri" w:hAnsi="Calibri" w:cs="Times New Roman"/>
        </w:rPr>
        <w:t xml:space="preserve">, BaO and P based on one metre sample increments. The nugget effect from </w:t>
      </w:r>
      <w:proofErr w:type="spellStart"/>
      <w:r w:rsidRPr="002F5DC4">
        <w:rPr>
          <w:rFonts w:ascii="Calibri" w:eastAsia="Calibri" w:hAnsi="Calibri" w:cs="Times New Roman"/>
        </w:rPr>
        <w:t>variography</w:t>
      </w:r>
      <w:proofErr w:type="spellEnd"/>
      <w:r w:rsidRPr="002F5DC4">
        <w:rPr>
          <w:rFonts w:ascii="Calibri" w:eastAsia="Calibri" w:hAnsi="Calibri" w:cs="Times New Roman"/>
        </w:rPr>
        <w:t xml:space="preserve"> represented only 20 - 30% of the total variability, suggesting low inherent random behaviour for the manganese mineralisation, and did not warrant grade capping.</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 xml:space="preserve">The models were estimated using the Ordinary </w:t>
      </w:r>
      <w:proofErr w:type="spellStart"/>
      <w:r w:rsidRPr="002F5DC4">
        <w:rPr>
          <w:rFonts w:ascii="Calibri" w:eastAsia="Calibri" w:hAnsi="Calibri" w:cs="Times New Roman"/>
        </w:rPr>
        <w:t>Kriging</w:t>
      </w:r>
      <w:proofErr w:type="spellEnd"/>
      <w:r w:rsidRPr="002F5DC4">
        <w:rPr>
          <w:rFonts w:ascii="Calibri" w:eastAsia="Calibri" w:hAnsi="Calibri" w:cs="Times New Roman"/>
        </w:rPr>
        <w:t xml:space="preserve"> (OK) estimation technique with </w:t>
      </w:r>
      <w:proofErr w:type="spellStart"/>
      <w:r w:rsidRPr="002F5DC4">
        <w:rPr>
          <w:rFonts w:ascii="Calibri" w:eastAsia="Calibri" w:hAnsi="Calibri" w:cs="Times New Roman"/>
        </w:rPr>
        <w:t>Surpac</w:t>
      </w:r>
      <w:proofErr w:type="spellEnd"/>
      <w:r w:rsidRPr="002F5DC4">
        <w:rPr>
          <w:rFonts w:ascii="Calibri" w:eastAsia="Calibri" w:hAnsi="Calibri" w:cs="Times New Roman"/>
        </w:rPr>
        <w:t xml:space="preserve"> resource estimation software, and coded with attributes for material type, resource classification, model domain and against OMM survey pit pickups.  Block Model Parent Cells are 25 m (Y) by 10 m (X) by 5 m (Z) and compare favourably with maximum drill spacing of 50 m by 25 m or 40 m by 20 m.  The along strike search radius varied from 130 m in the shorter or faulted models through to 290 m for the highly continuous Chugga-Gogo.  The number of samples was set at a minimum of 15 and a maximum of 32 for passes 1 &amp; 2.  Pass 3 used a minimum of 2 samples to fill model extents.  Search ranges varied from 130 m up to 290 m in the deposits of up to 3 km strike length.  The search ellipsoids were flattened disc shapes in the plane of the mineralisation with varying anisotropic ratios designed to model shallowly plunging manganese trends within the domains.  </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 xml:space="preserve">Current bulk density regression formulae are based on 366 waxed (or waxed equivalent) HQ3 core samples selected from 52 metallurgical composites distributed through all deposits included in the Ore Reserve.  The bulk density measurements were determined in 2009 by </w:t>
      </w:r>
      <w:proofErr w:type="spellStart"/>
      <w:r w:rsidRPr="002F5DC4">
        <w:rPr>
          <w:rFonts w:ascii="Calibri" w:eastAsia="Calibri" w:hAnsi="Calibri" w:cs="Times New Roman"/>
        </w:rPr>
        <w:t>Amdel</w:t>
      </w:r>
      <w:proofErr w:type="spellEnd"/>
      <w:r w:rsidRPr="002F5DC4">
        <w:rPr>
          <w:rFonts w:ascii="Calibri" w:eastAsia="Calibri" w:hAnsi="Calibri" w:cs="Times New Roman"/>
        </w:rPr>
        <w:t xml:space="preserve"> (Perth) using the wet and dry methodology.  Six density regressions were determined for Chugga/Gogo, Shekuma, Xhosa, Masai/Tourag, Yaka and Zulu deposits.  Bulk density regressions for Foldnose and Zulu South deposits (not in Ore Reserve) are assumed as for Yaka, the nearest equivalent. Renner West also uses the Yaka (most conservative) regression option.</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The mineralised domains have demonstrated sufficient continuity in both geological and grade continuity to support the definition of Mineral Resource and Ore Reserves, and the classifications applied under the JORC Code (2012 edition).  The nominal drillhole spacing of 50 m by 25 m was considered to provide adequate geological and grade continuity definition to assign an Indicated Mineral Resource classification to the majority of the deposits at Bootu Creek.  Measured Mineral Resources were restricted to closely drilled resource blocks within 15 m vertically of a mined pit floor, reflecting the high level of geological and grade confidence.</w:t>
      </w:r>
      <w:r w:rsidRPr="002F5DC4">
        <w:t xml:space="preserve">  </w:t>
      </w:r>
      <w:r w:rsidRPr="002F5DC4">
        <w:rPr>
          <w:rFonts w:ascii="Calibri" w:eastAsia="Calibri" w:hAnsi="Calibri" w:cs="Times New Roman"/>
        </w:rPr>
        <w:t xml:space="preserve">Inferred Mineral Resources were classified for </w:t>
      </w:r>
      <w:r>
        <w:rPr>
          <w:rFonts w:ascii="Calibri" w:eastAsia="Calibri" w:hAnsi="Calibri" w:cs="Times New Roman"/>
        </w:rPr>
        <w:t>the lower confidence Renner West deposit model.</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lastRenderedPageBreak/>
        <w:t>Metallurgical assumptions are based on test work conducted on 93 composites selected from 79 diamond holes drilled into all deposits included in Ore Reserves.  The test work consists largely of individual particle pyknometry (IPP) on lump ore and Heavy Liquid Separation (HLS) test work on fines (+1 mm).  The heavy media treatment plant reconciliation fa</w:t>
      </w:r>
      <w:r>
        <w:rPr>
          <w:rFonts w:ascii="Calibri" w:eastAsia="Calibri" w:hAnsi="Calibri" w:cs="Times New Roman"/>
        </w:rPr>
        <w:t>ctors, product yield formula</w:t>
      </w:r>
      <w:r w:rsidRPr="002F5DC4">
        <w:rPr>
          <w:rFonts w:ascii="Calibri" w:eastAsia="Calibri" w:hAnsi="Calibri" w:cs="Times New Roman"/>
        </w:rPr>
        <w:t xml:space="preserve"> and recovery are updated annually.   </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The input data is comprehensive in its coverage of the mineralisation and does not favour or misrepresent in-situ mineralisation.  Bootu Creek manganese deposits are located within a well-defined geological setting and this allows definition of mineralised zones based on a high level of geological understanding.  The Mineral Resource models have been confirmed by open pit mining since 2006 which reconciles well against the resource estimates.</w:t>
      </w:r>
    </w:p>
    <w:p w:rsidR="008555BD" w:rsidRPr="00AF0169" w:rsidRDefault="008555BD" w:rsidP="008555BD">
      <w:pPr>
        <w:jc w:val="both"/>
      </w:pPr>
      <w:r w:rsidRPr="002F5DC4">
        <w:rPr>
          <w:rFonts w:ascii="Calibri" w:eastAsia="Calibri" w:hAnsi="Calibri" w:cs="Times New Roman"/>
        </w:rPr>
        <w:t xml:space="preserve">Mineral Resource estimates are economically constrained within optimised pit shells, utilising Whittle mining software, based on </w:t>
      </w:r>
      <w:r w:rsidRPr="002F5DC4">
        <w:t xml:space="preserve">current mining, processing and logistics costs, projected sales revenue, geotechnical and processing plant yield and recovery parameters.  </w:t>
      </w:r>
      <w:r w:rsidRPr="002F5DC4">
        <w:rPr>
          <w:rFonts w:ascii="Calibri" w:eastAsia="Calibri" w:hAnsi="Calibri" w:cs="Times New Roman"/>
        </w:rPr>
        <w:t>Mineral Resources are reported as inclusive of Ore Reserves.</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b/>
          <w:u w:val="single"/>
        </w:rPr>
        <w:t>Ore Reserve estimation summary:</w:t>
      </w:r>
      <w:r w:rsidRPr="002F5DC4">
        <w:rPr>
          <w:rFonts w:ascii="Calibri" w:eastAsia="Calibri" w:hAnsi="Calibri" w:cs="Times New Roman"/>
        </w:rPr>
        <w:t xml:space="preserve"> The Bootu Creek Mine has been operating since 2006 and Ore Reserve statements prior to 2013 were reported under JORC (2004 Edition).  OMM upgraded the reporting standard to JORC (2012 Edition) in December 2013 and a summary of the information used in the Ore Reserve estimation follows:  </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All current and planned mining is by open pit mining methods.  Open pit slope angles, determined by an Independent Geotechnical Consultant, are at an overall angle, including berms, of 45</w:t>
      </w:r>
      <w:r w:rsidRPr="002F5DC4">
        <w:rPr>
          <w:rFonts w:ascii="Calibri" w:eastAsia="Calibri" w:hAnsi="Calibri" w:cs="Times New Roman"/>
          <w:vertAlign w:val="superscript"/>
        </w:rPr>
        <w:t>o</w:t>
      </w:r>
      <w:r w:rsidRPr="002F5DC4">
        <w:rPr>
          <w:rFonts w:ascii="Calibri" w:eastAsia="Calibri" w:hAnsi="Calibri" w:cs="Times New Roman"/>
        </w:rPr>
        <w:t xml:space="preserve"> to 55</w:t>
      </w:r>
      <w:r w:rsidRPr="002F5DC4">
        <w:rPr>
          <w:rFonts w:ascii="Calibri" w:eastAsia="Calibri" w:hAnsi="Calibri" w:cs="Times New Roman"/>
          <w:vertAlign w:val="superscript"/>
        </w:rPr>
        <w:t>o</w:t>
      </w:r>
      <w:r w:rsidRPr="002F5DC4">
        <w:rPr>
          <w:rFonts w:ascii="Calibri" w:eastAsia="Calibri" w:hAnsi="Calibri" w:cs="Times New Roman"/>
        </w:rPr>
        <w:t xml:space="preserve"> for hanging wall and end walls, and with footwall batter angles not exceeding the local bedding planes. </w:t>
      </w:r>
    </w:p>
    <w:p w:rsidR="008555BD" w:rsidRPr="002F5DC4" w:rsidRDefault="008555BD" w:rsidP="008555BD">
      <w:pPr>
        <w:jc w:val="both"/>
      </w:pPr>
      <w:r w:rsidRPr="002F5DC4">
        <w:t>Conversion of Mineral Resources to Ore Reserves is initially based on optimisation parameters derived from analysis of current operating practices and costs, technical studies, product price forecasting, and on recent mining and processing performance re</w:t>
      </w:r>
      <w:r>
        <w:t>conciliation. Open pit mine designs are then based</w:t>
      </w:r>
      <w:r w:rsidRPr="002F5DC4">
        <w:t xml:space="preserve"> around</w:t>
      </w:r>
      <w:r>
        <w:t xml:space="preserve"> the optimised </w:t>
      </w:r>
      <w:r w:rsidRPr="002F5DC4">
        <w:t>block</w:t>
      </w:r>
      <w:r>
        <w:t xml:space="preserve"> models</w:t>
      </w:r>
      <w:r w:rsidRPr="002F5DC4">
        <w:t xml:space="preserve"> to extract available ore blocks within practical mining limitations, further constraining the published Ore Reserve.  </w:t>
      </w:r>
    </w:p>
    <w:p w:rsidR="008555BD" w:rsidRPr="002F5DC4" w:rsidRDefault="008555BD" w:rsidP="008555BD">
      <w:pPr>
        <w:jc w:val="both"/>
      </w:pPr>
      <w:r w:rsidRPr="002F5DC4">
        <w:t>The current 15% Mn cut-off grade has been affirmed after several years of mining and processing Bootu Creek ore. Mang</w:t>
      </w:r>
      <w:r>
        <w:t>anese product derived from the HMS (Heavy</w:t>
      </w:r>
      <w:r w:rsidRPr="002F5DC4">
        <w:t xml:space="preserve"> Media Separation) plant feed is not linear in relation to the plant head grade, and product yield either decreases rapidly or fails to produce an acceptable product grade from plant feed below the 15% Mn cut-off grade.</w:t>
      </w:r>
    </w:p>
    <w:p w:rsidR="008555BD" w:rsidRPr="002F5DC4" w:rsidRDefault="008555BD" w:rsidP="008555BD">
      <w:pPr>
        <w:jc w:val="both"/>
        <w:rPr>
          <w:rFonts w:ascii="Calibri" w:eastAsia="Calibri" w:hAnsi="Calibri" w:cs="Times New Roman"/>
        </w:rPr>
      </w:pPr>
      <w:r w:rsidRPr="002F5DC4">
        <w:rPr>
          <w:rFonts w:ascii="Calibri" w:eastAsia="Calibri" w:hAnsi="Calibri" w:cs="Times New Roman"/>
        </w:rPr>
        <w:t xml:space="preserve">Grade dilution is reviewed each year by reconciliation of the previous year’s mined production. The Ore Reserve grade is quoted as a ‘diluted’ grade and is currently set at 86% of the contributing ‘undiluted’ Mineral Resource block grade.  Mining recovery factors are also reviewed each year from reconciliation of the previous year’s mined ore production. The Diluted Tonnage is currently estimated at 105% of the contributing ‘undiluted’ Mineral Resource block tonnes, for an overall average Metal Recovery Factor of 90.3% </w:t>
      </w:r>
      <w:r>
        <w:rPr>
          <w:rFonts w:ascii="Calibri" w:eastAsia="Calibri" w:hAnsi="Calibri" w:cs="Times New Roman"/>
        </w:rPr>
        <w:t>(1.05 * 0.86).</w:t>
      </w:r>
    </w:p>
    <w:p w:rsidR="005D5E8B" w:rsidRDefault="008555BD" w:rsidP="008555BD">
      <w:pPr>
        <w:jc w:val="both"/>
      </w:pPr>
      <w:r w:rsidRPr="002F5DC4">
        <w:rPr>
          <w:rFonts w:ascii="Calibri" w:eastAsia="Calibri" w:hAnsi="Calibri" w:cs="Times New Roman"/>
        </w:rPr>
        <w:t>The minimum mining unit is effectively 2.5 m vertically, by 5 m across and 5 m along strike. The minimum drill interse</w:t>
      </w:r>
      <w:r w:rsidRPr="002F5DC4">
        <w:t>ction length applied in the Mineral Resource and Ore Reserve estimation is 3</w:t>
      </w:r>
      <w:r w:rsidR="00720F32">
        <w:t xml:space="preserve"> m and is close to true width. </w:t>
      </w:r>
      <w:bookmarkStart w:id="0" w:name="_GoBack"/>
      <w:bookmarkEnd w:id="0"/>
      <w:r w:rsidRPr="002F5DC4">
        <w:t>Inferred Mineral Resources have not been utilised nor</w:t>
      </w:r>
      <w:r w:rsidR="005D5E8B">
        <w:t xml:space="preserve"> included in the Ore Reserves. </w:t>
      </w:r>
    </w:p>
    <w:p w:rsidR="008555BD" w:rsidRPr="002F5DC4" w:rsidRDefault="008555BD" w:rsidP="008555BD">
      <w:pPr>
        <w:jc w:val="both"/>
      </w:pPr>
      <w:r w:rsidRPr="002F5DC4">
        <w:lastRenderedPageBreak/>
        <w:t xml:space="preserve">The only significant deleterious element is Fe and that is managed by blending ore sources or product stockpiles. </w:t>
      </w:r>
    </w:p>
    <w:p w:rsidR="008555BD" w:rsidRPr="002F5DC4" w:rsidRDefault="008555BD" w:rsidP="008555BD">
      <w:pPr>
        <w:jc w:val="both"/>
      </w:pPr>
      <w:r w:rsidRPr="002F5DC4">
        <w:t>There are no significant environmental impacts arising from mining or processing. Waste rock and processing tails are stored on site and are not acid generating. The only additive used in ore processing is ferrosilicon.  Bootu Creek is an operating open pit mine site and processing facility.  Waste Management Plans for waste rock and tailings storage have been submitted to, and have been approved by the Northern Territory Department of Mines and Energy.</w:t>
      </w:r>
    </w:p>
    <w:p w:rsidR="008555BD" w:rsidRPr="002F5DC4" w:rsidRDefault="008555BD" w:rsidP="008555BD">
      <w:pPr>
        <w:jc w:val="both"/>
      </w:pPr>
      <w:r w:rsidRPr="002F5DC4">
        <w:t>Operating costs and sustaining capital are derived from analysis of the current Bootu Creek mining and processing operation and budget.  Deleterious elements are managed within specified maximum limits and no specific pricing allowance is used. Price discounts are applied for a specified range of lower grade manganese products.  Road and rail transportation charges are based on current contracted terms and rates.  Refining charges are not relevant and product specification penalties are rare, and have not been applied.</w:t>
      </w:r>
    </w:p>
    <w:p w:rsidR="008555BD" w:rsidRPr="002F5DC4" w:rsidRDefault="008555BD" w:rsidP="008555BD">
      <w:pPr>
        <w:jc w:val="both"/>
      </w:pPr>
      <w:r w:rsidRPr="002F5DC4">
        <w:t>Production based royalties are payable to the original project vendor and the Northern Land Council (on behalf of Traditional Owners) and are allowed for in the logistics costing applied in the pit optimisation process.</w:t>
      </w:r>
    </w:p>
    <w:p w:rsidR="008555BD" w:rsidRPr="002F5DC4" w:rsidRDefault="008555BD" w:rsidP="008555BD">
      <w:pPr>
        <w:jc w:val="both"/>
      </w:pPr>
      <w:r w:rsidRPr="002F5DC4">
        <w:t xml:space="preserve">Factors effecting revenue include contained dtmu (dry metric tonne units) of manganese and discounts applied for lower than benchmark manganese content. Manganese products are sold on an FOB basis from the Port of Darwin.  Manganese Price assumptions are based on Independent Analyst’s 3 year forecasts (Aug 2014) for CIF China GEMCO 44% of US$4.84/dtmu. Adjustments for selling and shipping costs, and product specific discounts, reduce the assumed FOB Darwin price to US$4.00/dtmu. </w:t>
      </w:r>
    </w:p>
    <w:p w:rsidR="008555BD" w:rsidRPr="002F5DC4" w:rsidRDefault="008555BD" w:rsidP="008555BD">
      <w:pPr>
        <w:jc w:val="both"/>
      </w:pPr>
      <w:r w:rsidRPr="002F5DC4">
        <w:t>Based on the projected exchange rate of 0.80 (AUD</w:t>
      </w:r>
      <w:proofErr w:type="gramStart"/>
      <w:r w:rsidRPr="002F5DC4">
        <w:t>:USD</w:t>
      </w:r>
      <w:proofErr w:type="gramEnd"/>
      <w:r w:rsidRPr="002F5DC4">
        <w:t>), as at 31 December 2014, the FOB Darwin price assumed for Bootu Creek product was estimated at Aus$5.00/dtmu. There are no saleable by-products and NPV ranges and sensitivity to variations are not included in the Ore Reserve estimation process.</w:t>
      </w:r>
    </w:p>
    <w:p w:rsidR="008555BD" w:rsidRPr="002F5DC4" w:rsidRDefault="008555BD" w:rsidP="008555BD">
      <w:pPr>
        <w:jc w:val="both"/>
      </w:pPr>
      <w:r w:rsidRPr="002F5DC4">
        <w:t xml:space="preserve">All necessary agreements and authorities are in place with the Traditional Owners for mining and royalties (via the Northern Land Council), and for heritage clearance and sacred sites (via the Aboriginal Areas Protection).  </w:t>
      </w:r>
    </w:p>
    <w:p w:rsidR="008555BD" w:rsidRPr="002F5DC4" w:rsidRDefault="008555BD" w:rsidP="008555BD">
      <w:pPr>
        <w:jc w:val="both"/>
        <w:rPr>
          <w:rFonts w:ascii="Calibri" w:eastAsia="Calibri" w:hAnsi="Calibri" w:cs="Times New Roman"/>
        </w:rPr>
      </w:pPr>
      <w:r w:rsidRPr="002F5DC4">
        <w:t>The Ore Reserve classifications are as follows: Proven Ore Reserves are restricted to in-situ Measured Resources contained within mine designs based on pit shells optimised at the current budget cost and revenue assumptions, plus surface Ore Stocks.  Probable Ore Reserves are restricted to Indicated Resources contained within mine designs based on pit shells optimised at the current budget cost and revenue assumptions. No Probable Ore Reserves are derived from Measured Resources.  The Ore Reserve classification appropriately reflects the Competent Person’s view of the deposit.</w:t>
      </w:r>
    </w:p>
    <w:p w:rsidR="008555BD" w:rsidRDefault="008555BD" w:rsidP="008555BD">
      <w:pPr>
        <w:spacing w:after="0" w:line="240" w:lineRule="auto"/>
      </w:pPr>
    </w:p>
    <w:p w:rsidR="00895062" w:rsidRPr="008555BD" w:rsidRDefault="00895062">
      <w:pPr>
        <w:rPr>
          <w:rFonts w:ascii="Calibri" w:eastAsia="Calibri" w:hAnsi="Calibri" w:cs="Times New Roman"/>
          <w:b/>
          <w:sz w:val="28"/>
          <w:szCs w:val="28"/>
        </w:rPr>
      </w:pPr>
    </w:p>
    <w:sectPr w:rsidR="00895062" w:rsidRPr="008555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5BD"/>
    <w:rsid w:val="005D5E8B"/>
    <w:rsid w:val="00720F32"/>
    <w:rsid w:val="008555BD"/>
    <w:rsid w:val="008950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5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5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Reddell</dc:creator>
  <cp:lastModifiedBy>Craig Reddell</cp:lastModifiedBy>
  <cp:revision>2</cp:revision>
  <dcterms:created xsi:type="dcterms:W3CDTF">2015-03-23T02:09:00Z</dcterms:created>
  <dcterms:modified xsi:type="dcterms:W3CDTF">2015-03-23T02:21:00Z</dcterms:modified>
</cp:coreProperties>
</file>